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ОНЛАЙНРЕГ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почтовых сервисов" Муразанову Р.В.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ОНЛАЙНРЕГ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ОНЛАЙНРЕГ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9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pSYeEE+iwJOilQwZQW5IDIR1VA==">AMUW2mW5XWPvE1uLBQ5BBrr6W8tPZqYbBKALj1vKLnZ0C6CZxNobEibaMGu+/L6c8BXZtR5azXaC80zN/SWGVyJAJ77KcWxKAlroFIQTpUzijwkiBfPIiaroT/Ochhj/BluDrE9oDb7GhAqLYNLA6sX0f4qwG6Z1Hw==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